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758BD2" w14:textId="6484F92A" w:rsidR="008969D8" w:rsidRDefault="008969D8" w:rsidP="008969D8">
      <w:pPr>
        <w:pStyle w:val="NormalWeb"/>
        <w:spacing w:before="0" w:beforeAutospacing="0" w:after="240" w:afterAutospacing="0"/>
        <w:contextualSpacing/>
        <w:jc w:val="center"/>
        <w:rPr>
          <w:b/>
          <w:bCs/>
          <w:sz w:val="22"/>
          <w:szCs w:val="22"/>
        </w:rPr>
      </w:pPr>
      <w:r>
        <w:rPr>
          <w:b/>
          <w:bCs/>
          <w:sz w:val="22"/>
          <w:szCs w:val="22"/>
        </w:rPr>
        <w:t>INVITATION</w:t>
      </w:r>
    </w:p>
    <w:p w14:paraId="18EDFD96" w14:textId="77777777" w:rsidR="008969D8" w:rsidRPr="008969D8" w:rsidRDefault="008969D8" w:rsidP="008969D8">
      <w:pPr>
        <w:pStyle w:val="NormalWeb"/>
        <w:spacing w:before="0" w:beforeAutospacing="0" w:after="240" w:afterAutospacing="0"/>
        <w:contextualSpacing/>
        <w:jc w:val="center"/>
        <w:rPr>
          <w:b/>
          <w:bCs/>
          <w:sz w:val="22"/>
          <w:szCs w:val="22"/>
        </w:rPr>
      </w:pPr>
    </w:p>
    <w:p w14:paraId="2331FC8F" w14:textId="06BFB732" w:rsidR="00E32427" w:rsidRPr="008969D8" w:rsidRDefault="008969D8" w:rsidP="008969D8">
      <w:pPr>
        <w:pStyle w:val="NormalWeb"/>
        <w:spacing w:before="0" w:beforeAutospacing="0" w:after="240" w:afterAutospacing="0"/>
        <w:contextualSpacing/>
        <w:jc w:val="center"/>
        <w:rPr>
          <w:b/>
          <w:bCs/>
          <w:sz w:val="22"/>
          <w:szCs w:val="22"/>
          <w:u w:val="single"/>
        </w:rPr>
      </w:pPr>
      <w:r w:rsidRPr="008969D8">
        <w:rPr>
          <w:b/>
          <w:bCs/>
          <w:sz w:val="22"/>
          <w:szCs w:val="22"/>
          <w:u w:val="single"/>
        </w:rPr>
        <w:t>for the submission of commercial proposals by requesting quotations for the supply of spare parts for Crebs hydrocyclones, Simplicity screens, Atlas Copco compressors, Tyler screens, and a mixed assortment:</w:t>
      </w:r>
    </w:p>
    <w:p w14:paraId="4FB38923" w14:textId="77777777" w:rsidR="008969D8" w:rsidRDefault="008969D8" w:rsidP="00E32427">
      <w:pPr>
        <w:pStyle w:val="NormalWeb"/>
        <w:spacing w:before="0" w:beforeAutospacing="0" w:after="240" w:afterAutospacing="0"/>
        <w:contextualSpacing/>
        <w:jc w:val="both"/>
        <w:rPr>
          <w:b/>
          <w:bCs/>
          <w:sz w:val="22"/>
          <w:szCs w:val="22"/>
        </w:rPr>
      </w:pPr>
    </w:p>
    <w:p w14:paraId="3DF9E4BF" w14:textId="77777777" w:rsidR="008969D8" w:rsidRPr="008969D8" w:rsidRDefault="008969D8" w:rsidP="008969D8">
      <w:pPr>
        <w:pStyle w:val="NormalWeb"/>
        <w:spacing w:after="240"/>
        <w:contextualSpacing/>
        <w:jc w:val="both"/>
        <w:rPr>
          <w:b/>
          <w:bCs/>
          <w:sz w:val="22"/>
          <w:szCs w:val="22"/>
        </w:rPr>
      </w:pPr>
      <w:r w:rsidRPr="008969D8">
        <w:rPr>
          <w:b/>
          <w:bCs/>
          <w:sz w:val="22"/>
          <w:szCs w:val="22"/>
        </w:rPr>
        <w:t>Date: February 13, 2026</w:t>
      </w:r>
    </w:p>
    <w:p w14:paraId="61B611FC" w14:textId="77777777" w:rsidR="008969D8" w:rsidRPr="008969D8" w:rsidRDefault="008969D8" w:rsidP="008969D8">
      <w:pPr>
        <w:pStyle w:val="NormalWeb"/>
        <w:spacing w:after="240"/>
        <w:contextualSpacing/>
        <w:jc w:val="both"/>
        <w:rPr>
          <w:b/>
          <w:bCs/>
          <w:sz w:val="22"/>
          <w:szCs w:val="22"/>
        </w:rPr>
      </w:pPr>
    </w:p>
    <w:p w14:paraId="135E964E" w14:textId="20DCDC39" w:rsidR="008969D8" w:rsidRDefault="008969D8" w:rsidP="008969D8">
      <w:pPr>
        <w:pStyle w:val="NormalWeb"/>
        <w:spacing w:before="0" w:beforeAutospacing="0" w:after="240" w:afterAutospacing="0"/>
        <w:contextualSpacing/>
        <w:jc w:val="both"/>
        <w:rPr>
          <w:b/>
          <w:bCs/>
          <w:sz w:val="22"/>
          <w:szCs w:val="22"/>
        </w:rPr>
      </w:pPr>
      <w:r w:rsidRPr="008969D8">
        <w:rPr>
          <w:b/>
          <w:bCs/>
          <w:sz w:val="22"/>
          <w:szCs w:val="22"/>
        </w:rPr>
        <w:t>Kumtor Gold Company CJSC (the Customer) invites eligible suppliers to participate in a request for quotation competition for the supply of:</w:t>
      </w:r>
    </w:p>
    <w:p w14:paraId="396B9858" w14:textId="77777777" w:rsidR="008969D8" w:rsidRPr="00E32427" w:rsidRDefault="008969D8" w:rsidP="008969D8">
      <w:pPr>
        <w:pStyle w:val="NormalWeb"/>
        <w:spacing w:before="0" w:beforeAutospacing="0" w:after="240" w:afterAutospacing="0"/>
        <w:contextualSpacing/>
        <w:jc w:val="both"/>
        <w:rPr>
          <w:b/>
          <w:bCs/>
          <w:sz w:val="22"/>
          <w:szCs w:val="22"/>
        </w:rPr>
      </w:pPr>
    </w:p>
    <w:p w14:paraId="06B4275B" w14:textId="77777777" w:rsidR="00E32427" w:rsidRPr="00E32427" w:rsidRDefault="00E32427" w:rsidP="00E32427">
      <w:pPr>
        <w:pStyle w:val="NormalWeb"/>
        <w:numPr>
          <w:ilvl w:val="0"/>
          <w:numId w:val="3"/>
        </w:numPr>
        <w:spacing w:before="0" w:beforeAutospacing="0" w:after="240" w:afterAutospacing="0"/>
        <w:contextualSpacing/>
        <w:jc w:val="both"/>
        <w:rPr>
          <w:b/>
          <w:bCs/>
          <w:sz w:val="22"/>
          <w:szCs w:val="22"/>
        </w:rPr>
      </w:pPr>
      <w:r w:rsidRPr="00E32427">
        <w:rPr>
          <w:b/>
          <w:bCs/>
          <w:sz w:val="22"/>
          <w:szCs w:val="22"/>
        </w:rPr>
        <w:t xml:space="preserve">Spare parts for Crebs hydrocyclones – RFQ No. R29003, </w:t>
      </w:r>
      <w:r w:rsidRPr="00E32427">
        <w:rPr>
          <w:b/>
          <w:bCs/>
          <w:i/>
          <w:iCs/>
          <w:sz w:val="22"/>
          <w:szCs w:val="22"/>
        </w:rPr>
        <w:t>divisible lot</w:t>
      </w:r>
      <w:r w:rsidRPr="00E32427">
        <w:rPr>
          <w:b/>
          <w:bCs/>
          <w:sz w:val="22"/>
          <w:szCs w:val="22"/>
        </w:rPr>
        <w:t>;</w:t>
      </w:r>
    </w:p>
    <w:p w14:paraId="48567B77" w14:textId="77777777" w:rsidR="00E32427" w:rsidRPr="00E32427" w:rsidRDefault="00E32427" w:rsidP="00E32427">
      <w:pPr>
        <w:pStyle w:val="NormalWeb"/>
        <w:numPr>
          <w:ilvl w:val="0"/>
          <w:numId w:val="3"/>
        </w:numPr>
        <w:spacing w:before="0" w:beforeAutospacing="0" w:after="240" w:afterAutospacing="0"/>
        <w:contextualSpacing/>
        <w:jc w:val="both"/>
        <w:rPr>
          <w:b/>
          <w:bCs/>
          <w:sz w:val="22"/>
          <w:szCs w:val="22"/>
        </w:rPr>
      </w:pPr>
      <w:r w:rsidRPr="00E32427">
        <w:rPr>
          <w:b/>
          <w:bCs/>
          <w:sz w:val="22"/>
          <w:szCs w:val="22"/>
        </w:rPr>
        <w:t xml:space="preserve">Spare parts for Simplicity screens – RFQ No. R29004, </w:t>
      </w:r>
      <w:r w:rsidRPr="00E32427">
        <w:rPr>
          <w:b/>
          <w:bCs/>
          <w:i/>
          <w:iCs/>
          <w:sz w:val="22"/>
          <w:szCs w:val="22"/>
        </w:rPr>
        <w:t>non</w:t>
      </w:r>
      <w:r w:rsidRPr="00E32427">
        <w:rPr>
          <w:b/>
          <w:bCs/>
          <w:i/>
          <w:iCs/>
          <w:sz w:val="22"/>
          <w:szCs w:val="22"/>
        </w:rPr>
        <w:noBreakHyphen/>
        <w:t>divisible lot</w:t>
      </w:r>
      <w:r w:rsidRPr="00E32427">
        <w:rPr>
          <w:b/>
          <w:bCs/>
          <w:sz w:val="22"/>
          <w:szCs w:val="22"/>
        </w:rPr>
        <w:t>;</w:t>
      </w:r>
    </w:p>
    <w:p w14:paraId="38CB60EB" w14:textId="77777777" w:rsidR="00E32427" w:rsidRPr="00E32427" w:rsidRDefault="00E32427" w:rsidP="00E32427">
      <w:pPr>
        <w:pStyle w:val="NormalWeb"/>
        <w:numPr>
          <w:ilvl w:val="0"/>
          <w:numId w:val="3"/>
        </w:numPr>
        <w:spacing w:before="0" w:beforeAutospacing="0" w:after="240" w:afterAutospacing="0"/>
        <w:contextualSpacing/>
        <w:jc w:val="both"/>
        <w:rPr>
          <w:b/>
          <w:bCs/>
          <w:sz w:val="22"/>
          <w:szCs w:val="22"/>
        </w:rPr>
      </w:pPr>
      <w:r w:rsidRPr="00E32427">
        <w:rPr>
          <w:b/>
          <w:bCs/>
          <w:sz w:val="22"/>
          <w:szCs w:val="22"/>
        </w:rPr>
        <w:t xml:space="preserve">Spare parts for Atlas Copco compressors – RFQ No. R29005, </w:t>
      </w:r>
      <w:r w:rsidRPr="00E32427">
        <w:rPr>
          <w:b/>
          <w:bCs/>
          <w:i/>
          <w:iCs/>
          <w:sz w:val="22"/>
          <w:szCs w:val="22"/>
        </w:rPr>
        <w:t>divisible lot</w:t>
      </w:r>
      <w:r w:rsidRPr="00E32427">
        <w:rPr>
          <w:b/>
          <w:bCs/>
          <w:sz w:val="22"/>
          <w:szCs w:val="22"/>
        </w:rPr>
        <w:t>;</w:t>
      </w:r>
    </w:p>
    <w:p w14:paraId="6D51E54B" w14:textId="77777777" w:rsidR="00E32427" w:rsidRPr="00E32427" w:rsidRDefault="00E32427" w:rsidP="00E32427">
      <w:pPr>
        <w:pStyle w:val="NormalWeb"/>
        <w:numPr>
          <w:ilvl w:val="0"/>
          <w:numId w:val="3"/>
        </w:numPr>
        <w:spacing w:before="0" w:beforeAutospacing="0" w:after="240" w:afterAutospacing="0"/>
        <w:contextualSpacing/>
        <w:jc w:val="both"/>
        <w:rPr>
          <w:b/>
          <w:bCs/>
          <w:sz w:val="22"/>
          <w:szCs w:val="22"/>
        </w:rPr>
      </w:pPr>
      <w:r w:rsidRPr="00E32427">
        <w:rPr>
          <w:b/>
          <w:bCs/>
          <w:sz w:val="22"/>
          <w:szCs w:val="22"/>
        </w:rPr>
        <w:t xml:space="preserve">Spare parts for Tyler screens – RFQ No. R29010, </w:t>
      </w:r>
      <w:r w:rsidRPr="00E32427">
        <w:rPr>
          <w:b/>
          <w:bCs/>
          <w:i/>
          <w:iCs/>
          <w:sz w:val="22"/>
          <w:szCs w:val="22"/>
        </w:rPr>
        <w:t>divisible lot</w:t>
      </w:r>
      <w:r w:rsidRPr="00E32427">
        <w:rPr>
          <w:b/>
          <w:bCs/>
          <w:sz w:val="22"/>
          <w:szCs w:val="22"/>
        </w:rPr>
        <w:t>;</w:t>
      </w:r>
    </w:p>
    <w:p w14:paraId="79D66AD9" w14:textId="77777777" w:rsidR="00E32427" w:rsidRPr="00E32427" w:rsidRDefault="00E32427" w:rsidP="00E32427">
      <w:pPr>
        <w:pStyle w:val="NormalWeb"/>
        <w:numPr>
          <w:ilvl w:val="0"/>
          <w:numId w:val="3"/>
        </w:numPr>
        <w:spacing w:before="0" w:beforeAutospacing="0" w:after="240" w:afterAutospacing="0"/>
        <w:contextualSpacing/>
        <w:jc w:val="both"/>
        <w:rPr>
          <w:b/>
          <w:bCs/>
          <w:sz w:val="22"/>
          <w:szCs w:val="22"/>
        </w:rPr>
      </w:pPr>
      <w:r w:rsidRPr="00E32427">
        <w:rPr>
          <w:b/>
          <w:bCs/>
          <w:sz w:val="22"/>
          <w:szCs w:val="22"/>
        </w:rPr>
        <w:t xml:space="preserve">Mixed assortment of spare parts – RFQ No. R29013, </w:t>
      </w:r>
      <w:r w:rsidRPr="00E32427">
        <w:rPr>
          <w:b/>
          <w:bCs/>
          <w:i/>
          <w:iCs/>
          <w:sz w:val="22"/>
          <w:szCs w:val="22"/>
        </w:rPr>
        <w:t>divisible lot</w:t>
      </w:r>
      <w:r w:rsidRPr="00E32427">
        <w:rPr>
          <w:b/>
          <w:bCs/>
          <w:sz w:val="22"/>
          <w:szCs w:val="22"/>
        </w:rPr>
        <w:t>.</w:t>
      </w:r>
    </w:p>
    <w:p w14:paraId="150FB86B" w14:textId="77777777" w:rsidR="00E32427" w:rsidRDefault="00E32427" w:rsidP="00E32427">
      <w:pPr>
        <w:pStyle w:val="NormalWeb"/>
        <w:spacing w:before="0" w:beforeAutospacing="0" w:after="240" w:afterAutospacing="0"/>
        <w:contextualSpacing/>
        <w:jc w:val="both"/>
        <w:rPr>
          <w:b/>
          <w:bCs/>
          <w:sz w:val="22"/>
          <w:szCs w:val="22"/>
          <w:lang w:val="ru-RU"/>
        </w:rPr>
      </w:pPr>
    </w:p>
    <w:p w14:paraId="31CE09BC" w14:textId="6AFA07F2" w:rsidR="00E32427" w:rsidRPr="00E32427" w:rsidRDefault="00E32427" w:rsidP="00E32427">
      <w:pPr>
        <w:pStyle w:val="NormalWeb"/>
        <w:spacing w:before="0" w:beforeAutospacing="0" w:after="240" w:afterAutospacing="0"/>
        <w:contextualSpacing/>
        <w:jc w:val="both"/>
        <w:rPr>
          <w:b/>
          <w:bCs/>
          <w:sz w:val="22"/>
          <w:szCs w:val="22"/>
        </w:rPr>
      </w:pPr>
      <w:r w:rsidRPr="00E32427">
        <w:rPr>
          <w:b/>
          <w:bCs/>
          <w:sz w:val="22"/>
          <w:szCs w:val="22"/>
        </w:rPr>
        <w:t>The documentation and technical requirements are provided in the attachments to the respective RFQs.</w:t>
      </w:r>
    </w:p>
    <w:p w14:paraId="688821C3" w14:textId="77777777" w:rsidR="00E32427" w:rsidRPr="00E32427" w:rsidRDefault="00E32427" w:rsidP="00CE3E81">
      <w:pPr>
        <w:pStyle w:val="NormalWeb"/>
        <w:spacing w:before="0" w:beforeAutospacing="0" w:after="240" w:afterAutospacing="0"/>
        <w:contextualSpacing/>
        <w:jc w:val="both"/>
        <w:rPr>
          <w:b/>
          <w:bCs/>
          <w:sz w:val="22"/>
          <w:szCs w:val="22"/>
        </w:rPr>
      </w:pPr>
    </w:p>
    <w:tbl>
      <w:tblPr>
        <w:tblStyle w:val="TableGrid"/>
        <w:tblW w:w="10350" w:type="dxa"/>
        <w:tblInd w:w="-545" w:type="dxa"/>
        <w:tblLook w:val="04A0" w:firstRow="1" w:lastRow="0" w:firstColumn="1" w:lastColumn="0" w:noHBand="0" w:noVBand="1"/>
      </w:tblPr>
      <w:tblGrid>
        <w:gridCol w:w="2340"/>
        <w:gridCol w:w="8010"/>
      </w:tblGrid>
      <w:tr w:rsidR="008B322E" w14:paraId="5987F468" w14:textId="77777777" w:rsidTr="008969D8">
        <w:trPr>
          <w:trHeight w:val="935"/>
        </w:trPr>
        <w:tc>
          <w:tcPr>
            <w:tcW w:w="2340" w:type="dxa"/>
          </w:tcPr>
          <w:p w14:paraId="080BA701" w14:textId="5B87474E" w:rsidR="00CE3E81" w:rsidRPr="00607094" w:rsidRDefault="00314E99" w:rsidP="00607094">
            <w:pPr>
              <w:pStyle w:val="NormalWeb"/>
              <w:spacing w:before="0" w:beforeAutospacing="0" w:after="240" w:afterAutospacing="0"/>
              <w:contextualSpacing/>
              <w:rPr>
                <w:sz w:val="22"/>
                <w:szCs w:val="22"/>
                <w:lang w:val="ru-RU"/>
              </w:rPr>
            </w:pPr>
            <w:r w:rsidRPr="00607094">
              <w:rPr>
                <w:rStyle w:val="Strong"/>
                <w:sz w:val="22"/>
                <w:szCs w:val="22"/>
                <w:lang w:val="en"/>
              </w:rPr>
              <w:t>Submission format:</w:t>
            </w:r>
          </w:p>
        </w:tc>
        <w:tc>
          <w:tcPr>
            <w:tcW w:w="8010" w:type="dxa"/>
          </w:tcPr>
          <w:p w14:paraId="210887ED" w14:textId="549AEBDC" w:rsidR="00131C43" w:rsidRPr="00BB0802" w:rsidRDefault="00314E99" w:rsidP="00BB0802">
            <w:pPr>
              <w:pStyle w:val="NormalWeb"/>
              <w:spacing w:after="240"/>
              <w:contextualSpacing/>
              <w:jc w:val="both"/>
              <w:rPr>
                <w:sz w:val="22"/>
                <w:szCs w:val="22"/>
              </w:rPr>
            </w:pPr>
            <w:r w:rsidRPr="00607094">
              <w:rPr>
                <w:sz w:val="22"/>
                <w:szCs w:val="22"/>
                <w:lang w:val="en"/>
              </w:rPr>
              <w:t>The application for participation, commercial proposals and other documents shall be signed by a person authorized to sign applications and contractual obligations.</w:t>
            </w:r>
          </w:p>
          <w:p w14:paraId="421277BA" w14:textId="7FBA6715" w:rsidR="00CE3E81" w:rsidRPr="00BB0802" w:rsidRDefault="00314E99" w:rsidP="008969D8">
            <w:pPr>
              <w:pStyle w:val="NormalWeb"/>
              <w:spacing w:after="240" w:afterAutospacing="0"/>
              <w:contextualSpacing/>
              <w:jc w:val="both"/>
              <w:rPr>
                <w:sz w:val="22"/>
                <w:szCs w:val="22"/>
              </w:rPr>
            </w:pPr>
            <w:r w:rsidRPr="00607094">
              <w:rPr>
                <w:sz w:val="22"/>
                <w:szCs w:val="22"/>
                <w:lang w:val="en"/>
              </w:rPr>
              <w:t>Documents shall be sealed and submitted in PDF format (the price spreadsheet shall also be duplicated in .xlsx format).</w:t>
            </w:r>
          </w:p>
        </w:tc>
      </w:tr>
      <w:tr w:rsidR="008B322E" w14:paraId="2B5209A7" w14:textId="77777777" w:rsidTr="008969D8">
        <w:tc>
          <w:tcPr>
            <w:tcW w:w="2340" w:type="dxa"/>
          </w:tcPr>
          <w:p w14:paraId="4C353B47" w14:textId="77777777" w:rsidR="006052B2" w:rsidRPr="00607094" w:rsidRDefault="00314E99" w:rsidP="00607094">
            <w:pPr>
              <w:contextualSpacing/>
              <w:rPr>
                <w:rFonts w:ascii="Times New Roman" w:hAnsi="Times New Roman" w:cs="Times New Roman"/>
                <w:sz w:val="22"/>
                <w:szCs w:val="22"/>
                <w:lang w:val="ru-RU"/>
              </w:rPr>
            </w:pPr>
            <w:r w:rsidRPr="00607094">
              <w:rPr>
                <w:rStyle w:val="Strong"/>
                <w:rFonts w:ascii="Times New Roman" w:hAnsi="Times New Roman" w:cs="Times New Roman"/>
                <w:sz w:val="22"/>
                <w:szCs w:val="22"/>
                <w:lang w:val="en"/>
              </w:rPr>
              <w:t>Procedure for submitting proposals:</w:t>
            </w:r>
          </w:p>
          <w:p w14:paraId="4FB831D1" w14:textId="77777777" w:rsidR="00CE3E81" w:rsidRPr="00607094" w:rsidRDefault="00CE3E81" w:rsidP="00607094">
            <w:pPr>
              <w:rPr>
                <w:rFonts w:ascii="Times New Roman" w:hAnsi="Times New Roman" w:cs="Times New Roman"/>
                <w:sz w:val="22"/>
                <w:szCs w:val="22"/>
                <w:lang w:val="ru-RU"/>
              </w:rPr>
            </w:pPr>
          </w:p>
        </w:tc>
        <w:tc>
          <w:tcPr>
            <w:tcW w:w="8010" w:type="dxa"/>
          </w:tcPr>
          <w:p w14:paraId="3C1ED78D" w14:textId="67BFC47B" w:rsidR="00131C43" w:rsidRPr="00BB0802" w:rsidRDefault="00314E99" w:rsidP="00C36D64">
            <w:pPr>
              <w:tabs>
                <w:tab w:val="left" w:pos="-1440"/>
                <w:tab w:val="left" w:pos="-720"/>
              </w:tabs>
              <w:spacing w:line="240" w:lineRule="atLeast"/>
              <w:jc w:val="both"/>
              <w:rPr>
                <w:rFonts w:ascii="Times New Roman" w:hAnsi="Times New Roman" w:cs="Times New Roman"/>
                <w:sz w:val="22"/>
                <w:szCs w:val="22"/>
              </w:rPr>
            </w:pPr>
            <w:r w:rsidRPr="00607094">
              <w:rPr>
                <w:rFonts w:ascii="Times New Roman" w:hAnsi="Times New Roman" w:cs="Times New Roman"/>
                <w:sz w:val="22"/>
                <w:szCs w:val="22"/>
                <w:lang w:val="en"/>
              </w:rPr>
              <w:t xml:space="preserve">Participants shall submit their applications for participation in Russian or English, attach the required copies of documents, and send them electronically to </w:t>
            </w:r>
            <w:hyperlink r:id="rId5" w:history="1">
              <w:r w:rsidR="00607094" w:rsidRPr="00607094">
                <w:rPr>
                  <w:rStyle w:val="Hyperlink"/>
                  <w:rFonts w:ascii="Times New Roman" w:hAnsi="Times New Roman" w:cs="Times New Roman"/>
                  <w:b/>
                  <w:bCs/>
                  <w:color w:val="FF0000"/>
                  <w:sz w:val="22"/>
                  <w:szCs w:val="22"/>
                  <w:u w:val="none"/>
                  <w:lang w:val="en"/>
                </w:rPr>
                <w:t>Spareparts.temirlan@kumtor.kg</w:t>
              </w:r>
            </w:hyperlink>
            <w:r w:rsidRPr="00607094">
              <w:rPr>
                <w:rFonts w:ascii="Times New Roman" w:hAnsi="Times New Roman" w:cs="Times New Roman"/>
                <w:sz w:val="22"/>
                <w:szCs w:val="22"/>
                <w:lang w:val="en"/>
              </w:rPr>
              <w:t xml:space="preserve"> no later than </w:t>
            </w:r>
            <w:r w:rsidRPr="00607094">
              <w:rPr>
                <w:rFonts w:ascii="Times New Roman" w:hAnsi="Times New Roman" w:cs="Times New Roman"/>
                <w:b/>
                <w:bCs/>
                <w:sz w:val="22"/>
                <w:szCs w:val="22"/>
                <w:lang w:val="en"/>
              </w:rPr>
              <w:t xml:space="preserve">4:00 pm on February </w:t>
            </w:r>
            <w:r w:rsidR="009822E0">
              <w:rPr>
                <w:rFonts w:ascii="Times New Roman" w:hAnsi="Times New Roman" w:cs="Times New Roman"/>
                <w:b/>
                <w:bCs/>
                <w:sz w:val="22"/>
                <w:szCs w:val="22"/>
                <w:lang w:val="en"/>
              </w:rPr>
              <w:t>25</w:t>
            </w:r>
            <w:r w:rsidRPr="00607094">
              <w:rPr>
                <w:rFonts w:ascii="Times New Roman" w:hAnsi="Times New Roman" w:cs="Times New Roman"/>
                <w:b/>
                <w:bCs/>
                <w:sz w:val="22"/>
                <w:szCs w:val="22"/>
                <w:lang w:val="en"/>
              </w:rPr>
              <w:t>, 2026</w:t>
            </w:r>
            <w:r w:rsidRPr="00607094">
              <w:rPr>
                <w:rFonts w:ascii="Times New Roman" w:hAnsi="Times New Roman" w:cs="Times New Roman"/>
                <w:sz w:val="22"/>
                <w:szCs w:val="22"/>
                <w:lang w:val="en"/>
              </w:rPr>
              <w:t>.</w:t>
            </w:r>
          </w:p>
          <w:p w14:paraId="064021E7" w14:textId="0660539A" w:rsidR="00131C43" w:rsidRPr="00BB0802" w:rsidRDefault="00314E99" w:rsidP="00C36D64">
            <w:pPr>
              <w:tabs>
                <w:tab w:val="left" w:pos="-1440"/>
                <w:tab w:val="left" w:pos="-720"/>
              </w:tabs>
              <w:spacing w:line="240" w:lineRule="atLeast"/>
              <w:jc w:val="both"/>
              <w:rPr>
                <w:rFonts w:ascii="Times New Roman" w:hAnsi="Times New Roman" w:cs="Times New Roman"/>
                <w:sz w:val="22"/>
                <w:szCs w:val="22"/>
              </w:rPr>
            </w:pPr>
            <w:r w:rsidRPr="00607094">
              <w:rPr>
                <w:rFonts w:ascii="Times New Roman" w:hAnsi="Times New Roman" w:cs="Times New Roman"/>
                <w:b/>
                <w:bCs/>
                <w:i/>
                <w:iCs/>
                <w:sz w:val="22"/>
                <w:szCs w:val="22"/>
                <w:lang w:val="en"/>
              </w:rPr>
              <w:t>Commercial Proposals sent to any other email address will not be considered.</w:t>
            </w:r>
          </w:p>
          <w:p w14:paraId="685BF850" w14:textId="000D2957" w:rsidR="00811934" w:rsidRPr="00BB0802" w:rsidRDefault="00314E99" w:rsidP="00C36D64">
            <w:pPr>
              <w:tabs>
                <w:tab w:val="left" w:pos="-1440"/>
                <w:tab w:val="left" w:pos="-720"/>
              </w:tabs>
              <w:spacing w:line="240" w:lineRule="atLeast"/>
              <w:jc w:val="both"/>
              <w:rPr>
                <w:rFonts w:ascii="Times New Roman" w:hAnsi="Times New Roman" w:cs="Times New Roman"/>
                <w:sz w:val="22"/>
                <w:szCs w:val="22"/>
              </w:rPr>
            </w:pPr>
            <w:r w:rsidRPr="00607094">
              <w:rPr>
                <w:rFonts w:ascii="Times New Roman" w:hAnsi="Times New Roman" w:cs="Times New Roman"/>
                <w:sz w:val="22"/>
                <w:szCs w:val="22"/>
                <w:lang w:val="en"/>
              </w:rPr>
              <w:t xml:space="preserve">The list of goods to be purchased is attached to this Request for Quotations. </w:t>
            </w:r>
          </w:p>
        </w:tc>
      </w:tr>
      <w:tr w:rsidR="008B322E" w14:paraId="073C3681" w14:textId="77777777" w:rsidTr="008969D8">
        <w:tc>
          <w:tcPr>
            <w:tcW w:w="2340" w:type="dxa"/>
          </w:tcPr>
          <w:p w14:paraId="0549176D" w14:textId="2C3E34CD" w:rsidR="00873419" w:rsidRPr="00BB0802" w:rsidRDefault="00314E99" w:rsidP="00607094">
            <w:pPr>
              <w:pStyle w:val="ListParagraph"/>
              <w:autoSpaceDE w:val="0"/>
              <w:autoSpaceDN w:val="0"/>
              <w:adjustRightInd w:val="0"/>
              <w:ind w:left="0"/>
              <w:rPr>
                <w:rFonts w:ascii="Times New Roman" w:hAnsi="Times New Roman" w:cs="Times New Roman"/>
                <w:b/>
                <w:bCs/>
                <w:sz w:val="22"/>
                <w:szCs w:val="22"/>
              </w:rPr>
            </w:pPr>
            <w:bookmarkStart w:id="0" w:name="_Hlk185512776"/>
            <w:r w:rsidRPr="00607094">
              <w:rPr>
                <w:rFonts w:ascii="Times New Roman" w:hAnsi="Times New Roman" w:cs="Times New Roman"/>
                <w:b/>
                <w:bCs/>
                <w:sz w:val="22"/>
                <w:szCs w:val="22"/>
                <w:lang w:val="en"/>
              </w:rPr>
              <w:t>The application for participation shall include the following documents:</w:t>
            </w:r>
            <w:bookmarkEnd w:id="0"/>
          </w:p>
        </w:tc>
        <w:tc>
          <w:tcPr>
            <w:tcW w:w="8010" w:type="dxa"/>
          </w:tcPr>
          <w:p w14:paraId="59053613" w14:textId="77777777" w:rsidR="00131C43" w:rsidRPr="00BB0802" w:rsidRDefault="00314E99" w:rsidP="00C36D64">
            <w:pPr>
              <w:tabs>
                <w:tab w:val="left" w:pos="1613"/>
              </w:tabs>
              <w:jc w:val="both"/>
              <w:rPr>
                <w:rFonts w:ascii="Times New Roman" w:hAnsi="Times New Roman" w:cs="Times New Roman"/>
                <w:sz w:val="22"/>
                <w:szCs w:val="22"/>
              </w:rPr>
            </w:pPr>
            <w:r w:rsidRPr="00607094">
              <w:rPr>
                <w:rFonts w:ascii="Times New Roman" w:hAnsi="Times New Roman" w:cs="Times New Roman"/>
                <w:sz w:val="22"/>
                <w:szCs w:val="22"/>
                <w:lang w:val="en"/>
              </w:rPr>
              <w:t>Commercial Proposal, including the following:</w:t>
            </w:r>
          </w:p>
          <w:p w14:paraId="0AC85860" w14:textId="37F86A25" w:rsidR="004312C2" w:rsidRPr="00BB0802" w:rsidRDefault="00314E99" w:rsidP="00C36D64">
            <w:pPr>
              <w:tabs>
                <w:tab w:val="left" w:pos="1613"/>
              </w:tabs>
              <w:jc w:val="both"/>
              <w:rPr>
                <w:rFonts w:ascii="Times New Roman" w:hAnsi="Times New Roman" w:cs="Times New Roman"/>
                <w:sz w:val="22"/>
                <w:szCs w:val="22"/>
              </w:rPr>
            </w:pPr>
            <w:r w:rsidRPr="00607094">
              <w:rPr>
                <w:rFonts w:ascii="Times New Roman" w:hAnsi="Times New Roman" w:cs="Times New Roman"/>
                <w:sz w:val="22"/>
                <w:szCs w:val="22"/>
                <w:lang w:val="en"/>
              </w:rPr>
              <w:t xml:space="preserve">∙ Delivery deadlines. </w:t>
            </w:r>
          </w:p>
          <w:p w14:paraId="42F3025D" w14:textId="2352AEDD" w:rsidR="004312C2" w:rsidRPr="00BB0802" w:rsidRDefault="00314E99" w:rsidP="00C36D64">
            <w:pPr>
              <w:tabs>
                <w:tab w:val="left" w:pos="1613"/>
              </w:tabs>
              <w:jc w:val="both"/>
              <w:rPr>
                <w:rFonts w:ascii="Times New Roman" w:hAnsi="Times New Roman" w:cs="Times New Roman"/>
                <w:sz w:val="22"/>
                <w:szCs w:val="22"/>
              </w:rPr>
            </w:pPr>
            <w:r w:rsidRPr="00607094">
              <w:rPr>
                <w:rFonts w:ascii="Times New Roman" w:hAnsi="Times New Roman" w:cs="Times New Roman"/>
                <w:sz w:val="22"/>
                <w:szCs w:val="22"/>
                <w:lang w:val="en"/>
              </w:rPr>
              <w:t>∙ Delivery terms.</w:t>
            </w:r>
          </w:p>
          <w:p w14:paraId="4847DDE8" w14:textId="77777777" w:rsidR="00131C43" w:rsidRPr="00BB0802" w:rsidRDefault="00314E99" w:rsidP="00C36D64">
            <w:pPr>
              <w:tabs>
                <w:tab w:val="left" w:pos="1613"/>
              </w:tabs>
              <w:jc w:val="both"/>
              <w:rPr>
                <w:rFonts w:ascii="Times New Roman" w:hAnsi="Times New Roman" w:cs="Times New Roman"/>
                <w:sz w:val="22"/>
                <w:szCs w:val="22"/>
              </w:rPr>
            </w:pPr>
            <w:r w:rsidRPr="00607094">
              <w:rPr>
                <w:rFonts w:ascii="Times New Roman" w:hAnsi="Times New Roman" w:cs="Times New Roman"/>
                <w:sz w:val="22"/>
                <w:szCs w:val="22"/>
                <w:lang w:val="en"/>
              </w:rPr>
              <w:t xml:space="preserve">∙ Payment terms. </w:t>
            </w:r>
          </w:p>
          <w:p w14:paraId="60145636" w14:textId="3FC3740D" w:rsidR="004312C2" w:rsidRPr="00BB0802" w:rsidRDefault="00314E99" w:rsidP="00C36D64">
            <w:pPr>
              <w:tabs>
                <w:tab w:val="left" w:pos="1613"/>
              </w:tabs>
              <w:jc w:val="both"/>
              <w:rPr>
                <w:rFonts w:ascii="Times New Roman" w:hAnsi="Times New Roman" w:cs="Times New Roman"/>
                <w:sz w:val="22"/>
                <w:szCs w:val="22"/>
              </w:rPr>
            </w:pPr>
            <w:r w:rsidRPr="00607094">
              <w:rPr>
                <w:rFonts w:ascii="Times New Roman" w:hAnsi="Times New Roman" w:cs="Times New Roman"/>
                <w:sz w:val="22"/>
                <w:szCs w:val="22"/>
                <w:lang w:val="en"/>
              </w:rPr>
              <w:t>∙ Validity period of the Commercial Proposal (please indicate the maximum period).</w:t>
            </w:r>
          </w:p>
        </w:tc>
      </w:tr>
      <w:tr w:rsidR="008B322E" w14:paraId="363591C7" w14:textId="77777777" w:rsidTr="008969D8">
        <w:trPr>
          <w:trHeight w:val="566"/>
        </w:trPr>
        <w:tc>
          <w:tcPr>
            <w:tcW w:w="2340" w:type="dxa"/>
          </w:tcPr>
          <w:p w14:paraId="396488B8" w14:textId="45B2B24B" w:rsidR="00241099" w:rsidRPr="00C715FD" w:rsidRDefault="00314E99" w:rsidP="00241099">
            <w:pPr>
              <w:pStyle w:val="NormalWeb"/>
              <w:spacing w:before="240" w:beforeAutospacing="0" w:after="0" w:afterAutospacing="0"/>
              <w:contextualSpacing/>
              <w:jc w:val="both"/>
              <w:rPr>
                <w:b/>
                <w:bCs/>
                <w:sz w:val="22"/>
                <w:szCs w:val="22"/>
                <w:lang w:val="ru-RU"/>
              </w:rPr>
            </w:pPr>
            <w:r w:rsidRPr="00C715FD">
              <w:rPr>
                <w:b/>
                <w:bCs/>
                <w:sz w:val="22"/>
                <w:szCs w:val="22"/>
                <w:lang w:val="en"/>
              </w:rPr>
              <w:t>Evaluation criteria:</w:t>
            </w:r>
          </w:p>
        </w:tc>
        <w:tc>
          <w:tcPr>
            <w:tcW w:w="8010" w:type="dxa"/>
          </w:tcPr>
          <w:p w14:paraId="60DDC0AD" w14:textId="479FAFAD" w:rsidR="00241099" w:rsidRPr="00BB0802" w:rsidRDefault="00314E99" w:rsidP="00C36D64">
            <w:pPr>
              <w:pStyle w:val="NormalWeb"/>
              <w:spacing w:before="240" w:beforeAutospacing="0" w:after="0" w:afterAutospacing="0"/>
              <w:contextualSpacing/>
              <w:jc w:val="both"/>
              <w:rPr>
                <w:sz w:val="22"/>
                <w:szCs w:val="22"/>
              </w:rPr>
            </w:pPr>
            <w:r w:rsidRPr="00607094">
              <w:rPr>
                <w:sz w:val="22"/>
                <w:szCs w:val="22"/>
                <w:lang w:val="en"/>
              </w:rPr>
              <w:t>Proposal with the lowest cost and optimal delivery deadlines will be considered successful.</w:t>
            </w:r>
          </w:p>
        </w:tc>
      </w:tr>
      <w:tr w:rsidR="008B322E" w14:paraId="3DDCD04F" w14:textId="77777777" w:rsidTr="008969D8">
        <w:trPr>
          <w:trHeight w:val="611"/>
        </w:trPr>
        <w:tc>
          <w:tcPr>
            <w:tcW w:w="10350" w:type="dxa"/>
            <w:gridSpan w:val="2"/>
          </w:tcPr>
          <w:p w14:paraId="129D76A2" w14:textId="045ACE5F" w:rsidR="0089095C" w:rsidRPr="00BB0802" w:rsidRDefault="00314E99" w:rsidP="0057090A">
            <w:pPr>
              <w:pStyle w:val="NormalWeb"/>
              <w:spacing w:before="240" w:beforeAutospacing="0" w:after="0" w:afterAutospacing="0"/>
              <w:contextualSpacing/>
              <w:jc w:val="both"/>
              <w:rPr>
                <w:b/>
                <w:bCs/>
                <w:sz w:val="22"/>
                <w:szCs w:val="22"/>
              </w:rPr>
            </w:pPr>
            <w:r w:rsidRPr="00E32427">
              <w:rPr>
                <w:sz w:val="22"/>
                <w:szCs w:val="22"/>
                <w:lang w:val="en"/>
              </w:rPr>
              <w:t>Proposals with the subject line: "_____" shall be sent to the email address</w:t>
            </w:r>
            <w:r w:rsidR="008843D6" w:rsidRPr="00E32427">
              <w:rPr>
                <w:sz w:val="22"/>
                <w:szCs w:val="22"/>
                <w:lang w:val="en"/>
              </w:rPr>
              <w:t>:</w:t>
            </w:r>
            <w:r w:rsidRPr="00E32427">
              <w:rPr>
                <w:sz w:val="22"/>
                <w:szCs w:val="22"/>
                <w:lang w:val="en"/>
              </w:rPr>
              <w:t xml:space="preserve"> </w:t>
            </w:r>
            <w:hyperlink r:id="rId6" w:history="1">
              <w:r w:rsidR="00607094" w:rsidRPr="00E32427">
                <w:rPr>
                  <w:rStyle w:val="Hyperlink"/>
                  <w:b/>
                  <w:bCs/>
                  <w:color w:val="FF0000"/>
                  <w:sz w:val="22"/>
                  <w:szCs w:val="22"/>
                  <w:u w:val="none"/>
                  <w:lang w:val="en"/>
                </w:rPr>
                <w:t>Spareparts.temirlan@kumtor.kg</w:t>
              </w:r>
            </w:hyperlink>
            <w:r w:rsidRPr="00E32427">
              <w:rPr>
                <w:sz w:val="22"/>
                <w:szCs w:val="22"/>
                <w:lang w:val="en"/>
              </w:rPr>
              <w:t xml:space="preserve"> </w:t>
            </w:r>
            <w:r w:rsidR="00F846A4" w:rsidRPr="00E32427">
              <w:rPr>
                <w:sz w:val="22"/>
                <w:szCs w:val="22"/>
                <w:lang w:val="en"/>
              </w:rPr>
              <w:t>no later than 4:00 pm on February 19, 2026</w:t>
            </w:r>
            <w:r w:rsidRPr="00E32427">
              <w:rPr>
                <w:sz w:val="22"/>
                <w:szCs w:val="22"/>
                <w:shd w:val="clear" w:color="auto" w:fill="FFFFFF" w:themeFill="background1"/>
                <w:lang w:val="en"/>
              </w:rPr>
              <w:t>.</w:t>
            </w:r>
          </w:p>
        </w:tc>
      </w:tr>
      <w:tr w:rsidR="008B322E" w14:paraId="7F922E09" w14:textId="77777777" w:rsidTr="008969D8">
        <w:trPr>
          <w:trHeight w:val="809"/>
        </w:trPr>
        <w:tc>
          <w:tcPr>
            <w:tcW w:w="10350" w:type="dxa"/>
            <w:gridSpan w:val="2"/>
          </w:tcPr>
          <w:p w14:paraId="21B0329B" w14:textId="2F39DE53" w:rsidR="0089095C" w:rsidRPr="00BB0802" w:rsidRDefault="00314E99" w:rsidP="0057090A">
            <w:pPr>
              <w:pStyle w:val="NormalWeb"/>
              <w:spacing w:before="240" w:beforeAutospacing="0" w:after="0" w:afterAutospacing="0"/>
              <w:contextualSpacing/>
              <w:jc w:val="both"/>
              <w:rPr>
                <w:sz w:val="22"/>
                <w:szCs w:val="22"/>
              </w:rPr>
            </w:pPr>
            <w:r w:rsidRPr="00607094">
              <w:rPr>
                <w:sz w:val="22"/>
                <w:szCs w:val="22"/>
                <w:lang w:val="en"/>
              </w:rPr>
              <w:t>The Client shall reserve the right to accept or reject any or all proposals, as well as to cancel the selection process at any time prior to the award of the Agreement, without incurring any obligations to the relevant participants.</w:t>
            </w:r>
          </w:p>
        </w:tc>
      </w:tr>
      <w:tr w:rsidR="008B322E" w14:paraId="6C07F3C7" w14:textId="77777777" w:rsidTr="008969D8">
        <w:tc>
          <w:tcPr>
            <w:tcW w:w="10350" w:type="dxa"/>
            <w:gridSpan w:val="2"/>
          </w:tcPr>
          <w:p w14:paraId="4BF0B2CB" w14:textId="506F74BF" w:rsidR="00241099" w:rsidRPr="00BB0802" w:rsidRDefault="00314E99" w:rsidP="0057090A">
            <w:pPr>
              <w:pStyle w:val="NormalWeb"/>
              <w:spacing w:before="240" w:beforeAutospacing="0" w:after="0" w:afterAutospacing="0"/>
              <w:contextualSpacing/>
              <w:jc w:val="both"/>
              <w:rPr>
                <w:rFonts w:eastAsia="Calibri"/>
                <w:b/>
                <w:bCs/>
                <w:sz w:val="22"/>
                <w:szCs w:val="22"/>
              </w:rPr>
            </w:pPr>
            <w:r w:rsidRPr="00607094">
              <w:rPr>
                <w:rFonts w:eastAsia="Calibri"/>
                <w:sz w:val="22"/>
                <w:szCs w:val="22"/>
                <w:lang w:val="en"/>
              </w:rPr>
              <w:t xml:space="preserve">Commercial Proposal shall be submitted on official letterhead. </w:t>
            </w:r>
          </w:p>
        </w:tc>
      </w:tr>
      <w:tr w:rsidR="008B322E" w14:paraId="19323EC5" w14:textId="77777777" w:rsidTr="008969D8">
        <w:tc>
          <w:tcPr>
            <w:tcW w:w="10350" w:type="dxa"/>
            <w:gridSpan w:val="2"/>
          </w:tcPr>
          <w:p w14:paraId="2512D533" w14:textId="10D54604" w:rsidR="002956E0" w:rsidRPr="00BB0802" w:rsidRDefault="00314E99" w:rsidP="002956E0">
            <w:pPr>
              <w:pStyle w:val="NormalWeb"/>
              <w:spacing w:before="240" w:beforeAutospacing="0" w:after="0" w:afterAutospacing="0"/>
              <w:contextualSpacing/>
              <w:jc w:val="both"/>
              <w:rPr>
                <w:sz w:val="22"/>
                <w:szCs w:val="22"/>
              </w:rPr>
            </w:pPr>
            <w:r w:rsidRPr="00607094">
              <w:rPr>
                <w:sz w:val="22"/>
                <w:szCs w:val="22"/>
                <w:lang w:val="en"/>
              </w:rPr>
              <w:t>Commercial Proposals submitted by Participants after the specified deadlines shall not be accepted or considered.</w:t>
            </w:r>
          </w:p>
          <w:p w14:paraId="5E89C092" w14:textId="77777777" w:rsidR="002956E0" w:rsidRPr="00BB0802" w:rsidRDefault="00314E99" w:rsidP="00483381">
            <w:pPr>
              <w:pStyle w:val="NormalWeb"/>
              <w:spacing w:before="240" w:beforeAutospacing="0" w:after="0" w:afterAutospacing="0"/>
              <w:contextualSpacing/>
              <w:jc w:val="both"/>
              <w:rPr>
                <w:sz w:val="22"/>
                <w:szCs w:val="22"/>
              </w:rPr>
            </w:pPr>
            <w:r w:rsidRPr="00607094">
              <w:rPr>
                <w:sz w:val="22"/>
                <w:szCs w:val="22"/>
                <w:lang w:val="en"/>
              </w:rPr>
              <w:t>By submitting its proposal, Participant expressly agrees to all the terms and conditions specified in the Company's requirements.</w:t>
            </w:r>
          </w:p>
          <w:p w14:paraId="65AD7FF9" w14:textId="033FBE3A" w:rsidR="002956E0" w:rsidRPr="00BB0802" w:rsidRDefault="00314E99" w:rsidP="00483381">
            <w:pPr>
              <w:pStyle w:val="NormalWeb"/>
              <w:spacing w:before="240" w:beforeAutospacing="0" w:after="0" w:afterAutospacing="0"/>
              <w:contextualSpacing/>
              <w:jc w:val="both"/>
              <w:rPr>
                <w:sz w:val="22"/>
                <w:szCs w:val="22"/>
              </w:rPr>
            </w:pPr>
            <w:r w:rsidRPr="00607094">
              <w:rPr>
                <w:sz w:val="22"/>
                <w:szCs w:val="22"/>
                <w:lang w:val="en"/>
              </w:rPr>
              <w:t>Each Selection Participant can submit only one Commercial Proposal.</w:t>
            </w:r>
          </w:p>
          <w:p w14:paraId="4C13529E" w14:textId="71393B4B" w:rsidR="002956E0" w:rsidRPr="00BB0802" w:rsidRDefault="00314E99" w:rsidP="00483381">
            <w:pPr>
              <w:pStyle w:val="NormalWeb"/>
              <w:spacing w:before="240" w:beforeAutospacing="0" w:after="0" w:afterAutospacing="0"/>
              <w:contextualSpacing/>
              <w:jc w:val="both"/>
              <w:rPr>
                <w:sz w:val="22"/>
                <w:szCs w:val="22"/>
              </w:rPr>
            </w:pPr>
            <w:r w:rsidRPr="00607094">
              <w:rPr>
                <w:sz w:val="22"/>
                <w:szCs w:val="22"/>
                <w:lang w:val="en"/>
              </w:rPr>
              <w:t>Validity period of Commercial Proposal shall be at least 30 calendar days.</w:t>
            </w:r>
          </w:p>
          <w:p w14:paraId="0B500DE8" w14:textId="60EBC977" w:rsidR="0089095C" w:rsidRPr="00BB0802" w:rsidRDefault="00314E99" w:rsidP="00483381">
            <w:pPr>
              <w:pStyle w:val="NormalWeb"/>
              <w:spacing w:before="240" w:beforeAutospacing="0" w:after="0" w:afterAutospacing="0"/>
              <w:contextualSpacing/>
              <w:jc w:val="both"/>
              <w:rPr>
                <w:sz w:val="22"/>
                <w:szCs w:val="22"/>
              </w:rPr>
            </w:pPr>
            <w:r w:rsidRPr="00607094">
              <w:rPr>
                <w:sz w:val="22"/>
                <w:szCs w:val="22"/>
                <w:lang w:val="en"/>
              </w:rPr>
              <w:t xml:space="preserve">No amendments to Commercial Proposals shall be permitted during the validity period of the Proposal. </w:t>
            </w:r>
          </w:p>
        </w:tc>
      </w:tr>
      <w:tr w:rsidR="008B322E" w14:paraId="1550040D" w14:textId="77777777" w:rsidTr="008969D8">
        <w:tc>
          <w:tcPr>
            <w:tcW w:w="10350" w:type="dxa"/>
            <w:gridSpan w:val="2"/>
          </w:tcPr>
          <w:p w14:paraId="2A8A4399" w14:textId="43A0E296" w:rsidR="0089095C" w:rsidRPr="00BB0802" w:rsidRDefault="00314E99" w:rsidP="00607094">
            <w:pPr>
              <w:pStyle w:val="NormalWeb"/>
              <w:spacing w:before="240" w:beforeAutospacing="0" w:after="0" w:afterAutospacing="0"/>
              <w:contextualSpacing/>
              <w:jc w:val="both"/>
              <w:rPr>
                <w:sz w:val="22"/>
                <w:szCs w:val="22"/>
              </w:rPr>
            </w:pPr>
            <w:r w:rsidRPr="00607094">
              <w:rPr>
                <w:sz w:val="22"/>
                <w:szCs w:val="22"/>
                <w:lang w:val="en"/>
              </w:rPr>
              <w:t xml:space="preserve">All questions regarding this selection process shall be directed via email to: </w:t>
            </w:r>
            <w:r w:rsidR="00483381" w:rsidRPr="008969D8">
              <w:rPr>
                <w:b/>
                <w:bCs/>
                <w:color w:val="FF0000"/>
                <w:sz w:val="22"/>
                <w:szCs w:val="22"/>
                <w:lang w:val="en"/>
              </w:rPr>
              <w:t>Temirlan.almerekov@kumtor.kg</w:t>
            </w:r>
            <w:r w:rsidRPr="00607094">
              <w:rPr>
                <w:sz w:val="22"/>
                <w:szCs w:val="22"/>
                <w:lang w:val="en"/>
              </w:rPr>
              <w:t>. </w:t>
            </w:r>
          </w:p>
        </w:tc>
      </w:tr>
      <w:tr w:rsidR="008B322E" w14:paraId="58622274" w14:textId="77777777" w:rsidTr="008969D8">
        <w:tc>
          <w:tcPr>
            <w:tcW w:w="10350" w:type="dxa"/>
            <w:gridSpan w:val="2"/>
          </w:tcPr>
          <w:p w14:paraId="02CB9D67" w14:textId="0E217F32" w:rsidR="0089095C" w:rsidRPr="00BB0802" w:rsidRDefault="00314E99" w:rsidP="00483381">
            <w:pPr>
              <w:pStyle w:val="NormalWeb"/>
              <w:spacing w:before="240" w:beforeAutospacing="0" w:after="0" w:afterAutospacing="0"/>
              <w:contextualSpacing/>
              <w:jc w:val="both"/>
              <w:rPr>
                <w:sz w:val="22"/>
                <w:szCs w:val="22"/>
              </w:rPr>
            </w:pPr>
            <w:r w:rsidRPr="00607094">
              <w:rPr>
                <w:sz w:val="22"/>
                <w:szCs w:val="22"/>
                <w:lang w:val="en"/>
              </w:rPr>
              <w:lastRenderedPageBreak/>
              <w:t>Any requests for clarification of the selection terms shall be submitted at least 3 calendar days prior to the proposal submission deadline.</w:t>
            </w:r>
          </w:p>
        </w:tc>
      </w:tr>
    </w:tbl>
    <w:p w14:paraId="78F39957" w14:textId="24C1434E" w:rsidR="00992E77" w:rsidRPr="00607094" w:rsidRDefault="00314E99" w:rsidP="00CC2DD0">
      <w:pPr>
        <w:rPr>
          <w:rFonts w:ascii="Times New Roman" w:hAnsi="Times New Roman" w:cs="Times New Roman"/>
          <w:sz w:val="22"/>
          <w:szCs w:val="22"/>
          <w:lang w:val="ru-RU"/>
        </w:rPr>
      </w:pPr>
      <w:r w:rsidRPr="00607094">
        <w:rPr>
          <w:rFonts w:ascii="Times New Roman" w:hAnsi="Times New Roman" w:cs="Times New Roman"/>
          <w:sz w:val="22"/>
          <w:szCs w:val="22"/>
          <w:lang w:val="en"/>
        </w:rPr>
        <w:t>Attachments:</w:t>
      </w:r>
    </w:p>
    <w:p w14:paraId="465EBA0C" w14:textId="7A39FCD5" w:rsidR="00024F67" w:rsidRPr="00607094" w:rsidRDefault="00314E99" w:rsidP="00CC2DD0">
      <w:pPr>
        <w:rPr>
          <w:rFonts w:ascii="Times New Roman" w:hAnsi="Times New Roman" w:cs="Times New Roman"/>
          <w:sz w:val="22"/>
          <w:szCs w:val="22"/>
          <w:lang w:val="ru-RU"/>
        </w:rPr>
      </w:pPr>
      <w:r w:rsidRPr="00607094">
        <w:rPr>
          <w:rFonts w:ascii="Times New Roman" w:hAnsi="Times New Roman" w:cs="Times New Roman"/>
          <w:sz w:val="22"/>
          <w:szCs w:val="22"/>
          <w:lang w:val="en"/>
        </w:rPr>
        <w:t xml:space="preserve">1. List of goods. </w:t>
      </w:r>
    </w:p>
    <w:sectPr w:rsidR="00024F67" w:rsidRPr="00607094">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82974"/>
    <w:multiLevelType w:val="hybridMultilevel"/>
    <w:tmpl w:val="15E084C6"/>
    <w:lvl w:ilvl="0" w:tplc="4B428BFA">
      <w:start w:val="1"/>
      <w:numFmt w:val="bullet"/>
      <w:lvlText w:val=""/>
      <w:lvlJc w:val="left"/>
      <w:pPr>
        <w:ind w:left="720" w:hanging="360"/>
      </w:pPr>
      <w:rPr>
        <w:rFonts w:ascii="Symbol" w:hAnsi="Symbol" w:hint="default"/>
      </w:rPr>
    </w:lvl>
    <w:lvl w:ilvl="1" w:tplc="8ECCD382" w:tentative="1">
      <w:start w:val="1"/>
      <w:numFmt w:val="bullet"/>
      <w:lvlText w:val="o"/>
      <w:lvlJc w:val="left"/>
      <w:pPr>
        <w:ind w:left="1440" w:hanging="360"/>
      </w:pPr>
      <w:rPr>
        <w:rFonts w:ascii="Courier New" w:hAnsi="Courier New" w:cs="Courier New" w:hint="default"/>
      </w:rPr>
    </w:lvl>
    <w:lvl w:ilvl="2" w:tplc="C3EA5F3C" w:tentative="1">
      <w:start w:val="1"/>
      <w:numFmt w:val="bullet"/>
      <w:lvlText w:val=""/>
      <w:lvlJc w:val="left"/>
      <w:pPr>
        <w:ind w:left="2160" w:hanging="360"/>
      </w:pPr>
      <w:rPr>
        <w:rFonts w:ascii="Wingdings" w:hAnsi="Wingdings" w:hint="default"/>
      </w:rPr>
    </w:lvl>
    <w:lvl w:ilvl="3" w:tplc="F76EF466" w:tentative="1">
      <w:start w:val="1"/>
      <w:numFmt w:val="bullet"/>
      <w:lvlText w:val=""/>
      <w:lvlJc w:val="left"/>
      <w:pPr>
        <w:ind w:left="2880" w:hanging="360"/>
      </w:pPr>
      <w:rPr>
        <w:rFonts w:ascii="Symbol" w:hAnsi="Symbol" w:hint="default"/>
      </w:rPr>
    </w:lvl>
    <w:lvl w:ilvl="4" w:tplc="6DBAE9A4" w:tentative="1">
      <w:start w:val="1"/>
      <w:numFmt w:val="bullet"/>
      <w:lvlText w:val="o"/>
      <w:lvlJc w:val="left"/>
      <w:pPr>
        <w:ind w:left="3600" w:hanging="360"/>
      </w:pPr>
      <w:rPr>
        <w:rFonts w:ascii="Courier New" w:hAnsi="Courier New" w:cs="Courier New" w:hint="default"/>
      </w:rPr>
    </w:lvl>
    <w:lvl w:ilvl="5" w:tplc="DAF0DB2A" w:tentative="1">
      <w:start w:val="1"/>
      <w:numFmt w:val="bullet"/>
      <w:lvlText w:val=""/>
      <w:lvlJc w:val="left"/>
      <w:pPr>
        <w:ind w:left="4320" w:hanging="360"/>
      </w:pPr>
      <w:rPr>
        <w:rFonts w:ascii="Wingdings" w:hAnsi="Wingdings" w:hint="default"/>
      </w:rPr>
    </w:lvl>
    <w:lvl w:ilvl="6" w:tplc="89E0FF60" w:tentative="1">
      <w:start w:val="1"/>
      <w:numFmt w:val="bullet"/>
      <w:lvlText w:val=""/>
      <w:lvlJc w:val="left"/>
      <w:pPr>
        <w:ind w:left="5040" w:hanging="360"/>
      </w:pPr>
      <w:rPr>
        <w:rFonts w:ascii="Symbol" w:hAnsi="Symbol" w:hint="default"/>
      </w:rPr>
    </w:lvl>
    <w:lvl w:ilvl="7" w:tplc="A72A7830" w:tentative="1">
      <w:start w:val="1"/>
      <w:numFmt w:val="bullet"/>
      <w:lvlText w:val="o"/>
      <w:lvlJc w:val="left"/>
      <w:pPr>
        <w:ind w:left="5760" w:hanging="360"/>
      </w:pPr>
      <w:rPr>
        <w:rFonts w:ascii="Courier New" w:hAnsi="Courier New" w:cs="Courier New" w:hint="default"/>
      </w:rPr>
    </w:lvl>
    <w:lvl w:ilvl="8" w:tplc="42CE627C" w:tentative="1">
      <w:start w:val="1"/>
      <w:numFmt w:val="bullet"/>
      <w:lvlText w:val=""/>
      <w:lvlJc w:val="left"/>
      <w:pPr>
        <w:ind w:left="6480" w:hanging="360"/>
      </w:pPr>
      <w:rPr>
        <w:rFonts w:ascii="Wingdings" w:hAnsi="Wingdings" w:hint="default"/>
      </w:rPr>
    </w:lvl>
  </w:abstractNum>
  <w:abstractNum w:abstractNumId="1" w15:restartNumberingAfterBreak="0">
    <w:nsid w:val="57866647"/>
    <w:multiLevelType w:val="multilevel"/>
    <w:tmpl w:val="0DEC6B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A6647E1"/>
    <w:multiLevelType w:val="multilevel"/>
    <w:tmpl w:val="93BC32A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16cid:durableId="845218279">
    <w:abstractNumId w:val="1"/>
  </w:num>
  <w:num w:numId="2" w16cid:durableId="1102191634">
    <w:abstractNumId w:val="0"/>
  </w:num>
  <w:num w:numId="3" w16cid:durableId="13619756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5FB7"/>
    <w:rsid w:val="0001754E"/>
    <w:rsid w:val="00024F67"/>
    <w:rsid w:val="0004182F"/>
    <w:rsid w:val="00044086"/>
    <w:rsid w:val="000619C0"/>
    <w:rsid w:val="00070B4E"/>
    <w:rsid w:val="00072BA1"/>
    <w:rsid w:val="00076A36"/>
    <w:rsid w:val="00082007"/>
    <w:rsid w:val="000925FD"/>
    <w:rsid w:val="000A53DF"/>
    <w:rsid w:val="000B1A67"/>
    <w:rsid w:val="000C0CF2"/>
    <w:rsid w:val="000D1A10"/>
    <w:rsid w:val="000F1C59"/>
    <w:rsid w:val="000F7383"/>
    <w:rsid w:val="00100A3D"/>
    <w:rsid w:val="001316A0"/>
    <w:rsid w:val="00131C43"/>
    <w:rsid w:val="00132897"/>
    <w:rsid w:val="00145C8A"/>
    <w:rsid w:val="00167A0E"/>
    <w:rsid w:val="00171AAF"/>
    <w:rsid w:val="00172671"/>
    <w:rsid w:val="00190F87"/>
    <w:rsid w:val="001A3F60"/>
    <w:rsid w:val="001B7547"/>
    <w:rsid w:val="001B7B9A"/>
    <w:rsid w:val="001C0A65"/>
    <w:rsid w:val="001C0BD7"/>
    <w:rsid w:val="00211BA4"/>
    <w:rsid w:val="002213AD"/>
    <w:rsid w:val="00221657"/>
    <w:rsid w:val="00227CCF"/>
    <w:rsid w:val="00233D0E"/>
    <w:rsid w:val="00235076"/>
    <w:rsid w:val="00241099"/>
    <w:rsid w:val="00241886"/>
    <w:rsid w:val="00241913"/>
    <w:rsid w:val="00275250"/>
    <w:rsid w:val="0027617B"/>
    <w:rsid w:val="0028377A"/>
    <w:rsid w:val="00284D8E"/>
    <w:rsid w:val="002956E0"/>
    <w:rsid w:val="002A2908"/>
    <w:rsid w:val="002B3F3B"/>
    <w:rsid w:val="002B4E23"/>
    <w:rsid w:val="002B4FAF"/>
    <w:rsid w:val="002C0E79"/>
    <w:rsid w:val="002C336B"/>
    <w:rsid w:val="002C4753"/>
    <w:rsid w:val="002C524B"/>
    <w:rsid w:val="002E01F3"/>
    <w:rsid w:val="002F320A"/>
    <w:rsid w:val="002F5F2F"/>
    <w:rsid w:val="00300457"/>
    <w:rsid w:val="003047AF"/>
    <w:rsid w:val="00314E99"/>
    <w:rsid w:val="0031668E"/>
    <w:rsid w:val="00326A97"/>
    <w:rsid w:val="0033298A"/>
    <w:rsid w:val="00336B69"/>
    <w:rsid w:val="00355861"/>
    <w:rsid w:val="0036531E"/>
    <w:rsid w:val="0038153C"/>
    <w:rsid w:val="00391925"/>
    <w:rsid w:val="00391EB7"/>
    <w:rsid w:val="003945F4"/>
    <w:rsid w:val="003973D6"/>
    <w:rsid w:val="003B57C7"/>
    <w:rsid w:val="003C0CAE"/>
    <w:rsid w:val="003C6A2E"/>
    <w:rsid w:val="003D6CCB"/>
    <w:rsid w:val="004118FE"/>
    <w:rsid w:val="0041309B"/>
    <w:rsid w:val="004312C2"/>
    <w:rsid w:val="00454D88"/>
    <w:rsid w:val="004650D1"/>
    <w:rsid w:val="00467BEE"/>
    <w:rsid w:val="00470AAB"/>
    <w:rsid w:val="0047115B"/>
    <w:rsid w:val="00483381"/>
    <w:rsid w:val="00486953"/>
    <w:rsid w:val="00491204"/>
    <w:rsid w:val="004B51E4"/>
    <w:rsid w:val="004D1C83"/>
    <w:rsid w:val="004D1ED0"/>
    <w:rsid w:val="004E52B8"/>
    <w:rsid w:val="004E7449"/>
    <w:rsid w:val="00504A7C"/>
    <w:rsid w:val="00524BA6"/>
    <w:rsid w:val="00562C6A"/>
    <w:rsid w:val="0057090A"/>
    <w:rsid w:val="00586042"/>
    <w:rsid w:val="005958DB"/>
    <w:rsid w:val="005B3774"/>
    <w:rsid w:val="005C4D88"/>
    <w:rsid w:val="005D2EBE"/>
    <w:rsid w:val="005F1EBD"/>
    <w:rsid w:val="005F519B"/>
    <w:rsid w:val="0060153C"/>
    <w:rsid w:val="006052B2"/>
    <w:rsid w:val="00607094"/>
    <w:rsid w:val="006347BD"/>
    <w:rsid w:val="00661B00"/>
    <w:rsid w:val="006656F2"/>
    <w:rsid w:val="00680E27"/>
    <w:rsid w:val="006970B0"/>
    <w:rsid w:val="006A1C22"/>
    <w:rsid w:val="006E6E15"/>
    <w:rsid w:val="006F02A2"/>
    <w:rsid w:val="006F3587"/>
    <w:rsid w:val="006F6857"/>
    <w:rsid w:val="006F7E79"/>
    <w:rsid w:val="007064E2"/>
    <w:rsid w:val="00714D5D"/>
    <w:rsid w:val="007206A0"/>
    <w:rsid w:val="00732797"/>
    <w:rsid w:val="00735327"/>
    <w:rsid w:val="00736D76"/>
    <w:rsid w:val="00741FBF"/>
    <w:rsid w:val="0074207C"/>
    <w:rsid w:val="00750DD3"/>
    <w:rsid w:val="0076436F"/>
    <w:rsid w:val="007649E3"/>
    <w:rsid w:val="00781D56"/>
    <w:rsid w:val="00785FB7"/>
    <w:rsid w:val="00794B38"/>
    <w:rsid w:val="00795F1E"/>
    <w:rsid w:val="007A3D61"/>
    <w:rsid w:val="007B262F"/>
    <w:rsid w:val="007B4F7A"/>
    <w:rsid w:val="007E34AA"/>
    <w:rsid w:val="00811934"/>
    <w:rsid w:val="00812B6E"/>
    <w:rsid w:val="00816FF6"/>
    <w:rsid w:val="00830EA4"/>
    <w:rsid w:val="00832596"/>
    <w:rsid w:val="00872034"/>
    <w:rsid w:val="00873419"/>
    <w:rsid w:val="008843D6"/>
    <w:rsid w:val="0089095C"/>
    <w:rsid w:val="008969D8"/>
    <w:rsid w:val="008B322E"/>
    <w:rsid w:val="008B54B9"/>
    <w:rsid w:val="008C19EC"/>
    <w:rsid w:val="008C5931"/>
    <w:rsid w:val="008C68E2"/>
    <w:rsid w:val="008C7975"/>
    <w:rsid w:val="008D0395"/>
    <w:rsid w:val="008D5EB0"/>
    <w:rsid w:val="008E0418"/>
    <w:rsid w:val="008F4C3C"/>
    <w:rsid w:val="008F68DC"/>
    <w:rsid w:val="00904646"/>
    <w:rsid w:val="00911375"/>
    <w:rsid w:val="00921ECD"/>
    <w:rsid w:val="009234DA"/>
    <w:rsid w:val="00945039"/>
    <w:rsid w:val="00955178"/>
    <w:rsid w:val="0096701E"/>
    <w:rsid w:val="00980D4F"/>
    <w:rsid w:val="009822E0"/>
    <w:rsid w:val="00982F3B"/>
    <w:rsid w:val="00983C7F"/>
    <w:rsid w:val="00987A44"/>
    <w:rsid w:val="00992E77"/>
    <w:rsid w:val="009941BB"/>
    <w:rsid w:val="009A340A"/>
    <w:rsid w:val="009C714A"/>
    <w:rsid w:val="009C7D64"/>
    <w:rsid w:val="009D30EB"/>
    <w:rsid w:val="009F1217"/>
    <w:rsid w:val="009F5172"/>
    <w:rsid w:val="00A152F7"/>
    <w:rsid w:val="00A259ED"/>
    <w:rsid w:val="00A55597"/>
    <w:rsid w:val="00A62E8D"/>
    <w:rsid w:val="00A645EB"/>
    <w:rsid w:val="00A65D15"/>
    <w:rsid w:val="00A70064"/>
    <w:rsid w:val="00A729D6"/>
    <w:rsid w:val="00A84115"/>
    <w:rsid w:val="00A9003E"/>
    <w:rsid w:val="00A91280"/>
    <w:rsid w:val="00AB6ACD"/>
    <w:rsid w:val="00AD42EE"/>
    <w:rsid w:val="00AD4EE0"/>
    <w:rsid w:val="00AF1C54"/>
    <w:rsid w:val="00AF2AD2"/>
    <w:rsid w:val="00AF305F"/>
    <w:rsid w:val="00B0769C"/>
    <w:rsid w:val="00B36C76"/>
    <w:rsid w:val="00B36EB4"/>
    <w:rsid w:val="00B5106E"/>
    <w:rsid w:val="00B755B0"/>
    <w:rsid w:val="00B82432"/>
    <w:rsid w:val="00B83D56"/>
    <w:rsid w:val="00B857EC"/>
    <w:rsid w:val="00B96E79"/>
    <w:rsid w:val="00BA44B8"/>
    <w:rsid w:val="00BB0802"/>
    <w:rsid w:val="00BB52A5"/>
    <w:rsid w:val="00BC16C6"/>
    <w:rsid w:val="00BE21B5"/>
    <w:rsid w:val="00BE2D0D"/>
    <w:rsid w:val="00BE4BD6"/>
    <w:rsid w:val="00C139DC"/>
    <w:rsid w:val="00C3501D"/>
    <w:rsid w:val="00C36D64"/>
    <w:rsid w:val="00C37361"/>
    <w:rsid w:val="00C43B78"/>
    <w:rsid w:val="00C50F54"/>
    <w:rsid w:val="00C520ED"/>
    <w:rsid w:val="00C60EA0"/>
    <w:rsid w:val="00C715FD"/>
    <w:rsid w:val="00C87DFD"/>
    <w:rsid w:val="00C92CDE"/>
    <w:rsid w:val="00C95B9E"/>
    <w:rsid w:val="00CB10DB"/>
    <w:rsid w:val="00CB21B5"/>
    <w:rsid w:val="00CC2DD0"/>
    <w:rsid w:val="00CC3BA7"/>
    <w:rsid w:val="00CC4A5D"/>
    <w:rsid w:val="00CE0BDB"/>
    <w:rsid w:val="00CE3E81"/>
    <w:rsid w:val="00CE427A"/>
    <w:rsid w:val="00D0545E"/>
    <w:rsid w:val="00D1312B"/>
    <w:rsid w:val="00D22D74"/>
    <w:rsid w:val="00D25D91"/>
    <w:rsid w:val="00D363B2"/>
    <w:rsid w:val="00D60121"/>
    <w:rsid w:val="00D72DF8"/>
    <w:rsid w:val="00DA062B"/>
    <w:rsid w:val="00DA17D5"/>
    <w:rsid w:val="00DD2C68"/>
    <w:rsid w:val="00DF1DB2"/>
    <w:rsid w:val="00DF54DB"/>
    <w:rsid w:val="00E0337A"/>
    <w:rsid w:val="00E168DD"/>
    <w:rsid w:val="00E32427"/>
    <w:rsid w:val="00E34396"/>
    <w:rsid w:val="00E424F8"/>
    <w:rsid w:val="00E47C0B"/>
    <w:rsid w:val="00E527A0"/>
    <w:rsid w:val="00E83FDA"/>
    <w:rsid w:val="00E87B9B"/>
    <w:rsid w:val="00E9050C"/>
    <w:rsid w:val="00E96B0F"/>
    <w:rsid w:val="00EA5FCB"/>
    <w:rsid w:val="00EF0D8F"/>
    <w:rsid w:val="00F04FD0"/>
    <w:rsid w:val="00F2372C"/>
    <w:rsid w:val="00F27751"/>
    <w:rsid w:val="00F67586"/>
    <w:rsid w:val="00F72D25"/>
    <w:rsid w:val="00F81839"/>
    <w:rsid w:val="00F846A4"/>
    <w:rsid w:val="00FB5537"/>
    <w:rsid w:val="00FC7B30"/>
    <w:rsid w:val="00FE5E69"/>
    <w:rsid w:val="00FF4006"/>
    <w:rsid w:val="00FF6FAB"/>
    <w:rsid w:val="00FF71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F8976"/>
  <w15:chartTrackingRefBased/>
  <w15:docId w15:val="{D1A221B7-1F33-4E0E-BDD0-F8D872C1E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85FB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85FB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85FB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85FB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85FB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85FB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85FB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85FB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85FB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5FB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85FB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85FB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85FB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85FB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85FB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85FB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85FB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85FB7"/>
    <w:rPr>
      <w:rFonts w:eastAsiaTheme="majorEastAsia" w:cstheme="majorBidi"/>
      <w:color w:val="272727" w:themeColor="text1" w:themeTint="D8"/>
    </w:rPr>
  </w:style>
  <w:style w:type="paragraph" w:styleId="Title">
    <w:name w:val="Title"/>
    <w:basedOn w:val="Normal"/>
    <w:next w:val="Normal"/>
    <w:link w:val="TitleChar"/>
    <w:uiPriority w:val="10"/>
    <w:qFormat/>
    <w:rsid w:val="00785FB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85FB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85FB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85FB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85FB7"/>
    <w:pPr>
      <w:spacing w:before="160"/>
      <w:jc w:val="center"/>
    </w:pPr>
    <w:rPr>
      <w:i/>
      <w:iCs/>
      <w:color w:val="404040" w:themeColor="text1" w:themeTint="BF"/>
    </w:rPr>
  </w:style>
  <w:style w:type="character" w:customStyle="1" w:styleId="QuoteChar">
    <w:name w:val="Quote Char"/>
    <w:basedOn w:val="DefaultParagraphFont"/>
    <w:link w:val="Quote"/>
    <w:uiPriority w:val="29"/>
    <w:rsid w:val="00785FB7"/>
    <w:rPr>
      <w:i/>
      <w:iCs/>
      <w:color w:val="404040" w:themeColor="text1" w:themeTint="BF"/>
    </w:rPr>
  </w:style>
  <w:style w:type="paragraph" w:styleId="ListParagraph">
    <w:name w:val="List Paragraph"/>
    <w:aliases w:val="Table-Normal,RSHB_Table-Normal,Заголовок_3,Подпись рисунка,Numbered List"/>
    <w:basedOn w:val="Normal"/>
    <w:link w:val="ListParagraphChar"/>
    <w:uiPriority w:val="34"/>
    <w:qFormat/>
    <w:rsid w:val="00785FB7"/>
    <w:pPr>
      <w:ind w:left="720"/>
      <w:contextualSpacing/>
    </w:pPr>
  </w:style>
  <w:style w:type="character" w:styleId="IntenseEmphasis">
    <w:name w:val="Intense Emphasis"/>
    <w:basedOn w:val="DefaultParagraphFont"/>
    <w:uiPriority w:val="21"/>
    <w:qFormat/>
    <w:rsid w:val="00785FB7"/>
    <w:rPr>
      <w:i/>
      <w:iCs/>
      <w:color w:val="0F4761" w:themeColor="accent1" w:themeShade="BF"/>
    </w:rPr>
  </w:style>
  <w:style w:type="paragraph" w:styleId="IntenseQuote">
    <w:name w:val="Intense Quote"/>
    <w:basedOn w:val="Normal"/>
    <w:next w:val="Normal"/>
    <w:link w:val="IntenseQuoteChar"/>
    <w:uiPriority w:val="30"/>
    <w:qFormat/>
    <w:rsid w:val="00785FB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85FB7"/>
    <w:rPr>
      <w:i/>
      <w:iCs/>
      <w:color w:val="0F4761" w:themeColor="accent1" w:themeShade="BF"/>
    </w:rPr>
  </w:style>
  <w:style w:type="character" w:styleId="IntenseReference">
    <w:name w:val="Intense Reference"/>
    <w:basedOn w:val="DefaultParagraphFont"/>
    <w:uiPriority w:val="32"/>
    <w:qFormat/>
    <w:rsid w:val="00785FB7"/>
    <w:rPr>
      <w:b/>
      <w:bCs/>
      <w:smallCaps/>
      <w:color w:val="0F4761" w:themeColor="accent1" w:themeShade="BF"/>
      <w:spacing w:val="5"/>
    </w:rPr>
  </w:style>
  <w:style w:type="paragraph" w:styleId="NormalWeb">
    <w:name w:val="Normal (Web)"/>
    <w:basedOn w:val="Normal"/>
    <w:uiPriority w:val="99"/>
    <w:unhideWhenUsed/>
    <w:rsid w:val="00CE3E81"/>
    <w:pPr>
      <w:spacing w:before="100" w:beforeAutospacing="1" w:after="100" w:afterAutospacing="1" w:line="240" w:lineRule="auto"/>
    </w:pPr>
    <w:rPr>
      <w:rFonts w:ascii="Times New Roman" w:hAnsi="Times New Roman" w:cs="Times New Roman"/>
      <w:kern w:val="0"/>
      <w14:ligatures w14:val="none"/>
    </w:rPr>
  </w:style>
  <w:style w:type="table" w:styleId="TableGrid">
    <w:name w:val="Table Grid"/>
    <w:basedOn w:val="TableNormal"/>
    <w:uiPriority w:val="39"/>
    <w:rsid w:val="00CE3E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04FD0"/>
    <w:rPr>
      <w:b/>
      <w:bCs/>
    </w:rPr>
  </w:style>
  <w:style w:type="character" w:customStyle="1" w:styleId="ListParagraphChar">
    <w:name w:val="List Paragraph Char"/>
    <w:aliases w:val="Table-Normal Char,RSHB_Table-Normal Char,Заголовок_3 Char,Подпись рисунка Char,Numbered List Char"/>
    <w:link w:val="ListParagraph"/>
    <w:uiPriority w:val="34"/>
    <w:locked/>
    <w:rsid w:val="004E7449"/>
  </w:style>
  <w:style w:type="character" w:styleId="Hyperlink">
    <w:name w:val="Hyperlink"/>
    <w:basedOn w:val="DefaultParagraphFont"/>
    <w:uiPriority w:val="99"/>
    <w:unhideWhenUsed/>
    <w:rsid w:val="00FE5E69"/>
    <w:rPr>
      <w:color w:val="467886"/>
      <w:u w:val="single"/>
    </w:rPr>
  </w:style>
  <w:style w:type="character" w:styleId="UnresolvedMention">
    <w:name w:val="Unresolved Mention"/>
    <w:basedOn w:val="DefaultParagraphFont"/>
    <w:uiPriority w:val="99"/>
    <w:semiHidden/>
    <w:unhideWhenUsed/>
    <w:rsid w:val="006070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pareparts.temirlan@kumtor.kg" TargetMode="External"/><Relationship Id="rId5" Type="http://schemas.openxmlformats.org/officeDocument/2006/relationships/hyperlink" Target="mailto:Spareparts.temirlan@kumtor.k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525</TotalTime>
  <Pages>2</Pages>
  <Words>477</Words>
  <Characters>2792</Characters>
  <Application>Microsoft Office Word</Application>
  <DocSecurity>0</DocSecurity>
  <Lines>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Baisal Taalaibekov</dc:creator>
  <cp:lastModifiedBy>Temirlan Almerekov</cp:lastModifiedBy>
  <cp:revision>235</cp:revision>
  <dcterms:created xsi:type="dcterms:W3CDTF">2025-06-12T03:01:00Z</dcterms:created>
  <dcterms:modified xsi:type="dcterms:W3CDTF">2026-02-13T07:56:00Z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ActionId">
    <vt:lpwstr>21b6d0be-0c3e-42f3-bb9a-3d284fb22b3f</vt:lpwstr>
  </property>
  <property fmtid="{D5CDD505-2E9C-101B-9397-08002B2CF9AE}" pid="3" name="MSIP_Label_d85bea94-60d0-4a5c-9138-48420e73067f_ContentBits">
    <vt:lpwstr>0</vt:lpwstr>
  </property>
  <property fmtid="{D5CDD505-2E9C-101B-9397-08002B2CF9AE}" pid="4" name="MSIP_Label_d85bea94-60d0-4a5c-9138-48420e73067f_Enabled">
    <vt:lpwstr>true</vt:lpwstr>
  </property>
  <property fmtid="{D5CDD505-2E9C-101B-9397-08002B2CF9AE}" pid="5" name="MSIP_Label_d85bea94-60d0-4a5c-9138-48420e73067f_Method">
    <vt:lpwstr>Standard</vt:lpwstr>
  </property>
  <property fmtid="{D5CDD505-2E9C-101B-9397-08002B2CF9AE}" pid="6" name="MSIP_Label_d85bea94-60d0-4a5c-9138-48420e73067f_Name">
    <vt:lpwstr>defa4170-0d19-0005-0004-bc88714345d2</vt:lpwstr>
  </property>
  <property fmtid="{D5CDD505-2E9C-101B-9397-08002B2CF9AE}" pid="7" name="MSIP_Label_d85bea94-60d0-4a5c-9138-48420e73067f_SetDate">
    <vt:lpwstr>2025-06-12T07:52:32Z</vt:lpwstr>
  </property>
  <property fmtid="{D5CDD505-2E9C-101B-9397-08002B2CF9AE}" pid="8" name="MSIP_Label_d85bea94-60d0-4a5c-9138-48420e73067f_SiteId">
    <vt:lpwstr>30f55b9e-dc49-493e-a20c-0fbb510a0971</vt:lpwstr>
  </property>
  <property fmtid="{D5CDD505-2E9C-101B-9397-08002B2CF9AE}" pid="9" name="MSIP_Label_d85bea94-60d0-4a5c-9138-48420e73067f_Tag">
    <vt:lpwstr>10, 3, 0, 1</vt:lpwstr>
  </property>
</Properties>
</file>